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232"/>
        <w:gridCol w:w="6840"/>
      </w:tblGrid>
      <w:tr w:rsidR="004C0BAE" w:rsidRPr="00D9324C" w:rsidTr="00D9324C">
        <w:tc>
          <w:tcPr>
            <w:tcW w:w="9212" w:type="dxa"/>
            <w:gridSpan w:val="2"/>
            <w:shd w:val="clear" w:color="auto" w:fill="auto"/>
          </w:tcPr>
          <w:p w:rsidR="004C0BAE" w:rsidRPr="00B52677" w:rsidRDefault="002A7153" w:rsidP="009B2444">
            <w:pPr>
              <w:spacing w:before="60" w:after="60" w:line="240" w:lineRule="auto"/>
              <w:rPr>
                <w:rFonts w:cs="Arial"/>
                <w:b/>
                <w:sz w:val="32"/>
                <w:szCs w:val="32"/>
              </w:rPr>
            </w:pPr>
            <w:r>
              <w:rPr>
                <w:rFonts w:cs="Arial"/>
                <w:b/>
                <w:sz w:val="32"/>
                <w:szCs w:val="32"/>
              </w:rPr>
              <w:t>Retningslinjer ved m</w:t>
            </w:r>
            <w:r w:rsidR="00B52677" w:rsidRPr="00B52677">
              <w:rPr>
                <w:rFonts w:cs="Arial"/>
                <w:b/>
                <w:sz w:val="32"/>
                <w:szCs w:val="32"/>
              </w:rPr>
              <w:t>untlig eksamen</w:t>
            </w:r>
          </w:p>
        </w:tc>
      </w:tr>
      <w:tr w:rsidR="00DA334F" w:rsidRPr="00D9324C" w:rsidTr="00CA32E0">
        <w:tc>
          <w:tcPr>
            <w:tcW w:w="9212" w:type="dxa"/>
            <w:gridSpan w:val="2"/>
            <w:tcBorders>
              <w:bottom w:val="single" w:sz="4" w:space="0" w:color="auto"/>
            </w:tcBorders>
            <w:shd w:val="clear" w:color="auto" w:fill="auto"/>
          </w:tcPr>
          <w:p w:rsidR="00DA334F" w:rsidRPr="003C4970" w:rsidRDefault="008513AF" w:rsidP="000A7660">
            <w:pPr>
              <w:spacing w:before="60" w:after="60" w:line="240" w:lineRule="auto"/>
              <w:rPr>
                <w:rFonts w:cs="Arial"/>
                <w:b/>
                <w:szCs w:val="24"/>
              </w:rPr>
            </w:pPr>
            <w:r>
              <w:rPr>
                <w:rFonts w:cs="Arial"/>
                <w:szCs w:val="24"/>
              </w:rPr>
              <w:t xml:space="preserve">RFK Reglement/prosedyrer </w:t>
            </w:r>
            <w:r w:rsidR="009B2444">
              <w:rPr>
                <w:rFonts w:cs="Arial"/>
                <w:szCs w:val="24"/>
              </w:rPr>
              <w:t>Opplæring</w:t>
            </w:r>
          </w:p>
        </w:tc>
      </w:tr>
      <w:tr w:rsidR="003C4970" w:rsidRPr="00D9324C" w:rsidTr="00CA32E0">
        <w:tc>
          <w:tcPr>
            <w:tcW w:w="2235" w:type="dxa"/>
            <w:tcBorders>
              <w:top w:val="single" w:sz="4" w:space="0" w:color="auto"/>
            </w:tcBorders>
            <w:shd w:val="clear" w:color="auto" w:fill="auto"/>
          </w:tcPr>
          <w:p w:rsidR="003C4970" w:rsidRPr="00D9324C" w:rsidRDefault="003C4970" w:rsidP="00AC0195">
            <w:pPr>
              <w:spacing w:before="60" w:after="60" w:line="240" w:lineRule="auto"/>
              <w:rPr>
                <w:rFonts w:cs="Arial"/>
                <w:szCs w:val="24"/>
              </w:rPr>
            </w:pPr>
            <w:r w:rsidRPr="00D9324C">
              <w:rPr>
                <w:rFonts w:cs="Arial"/>
                <w:szCs w:val="24"/>
              </w:rPr>
              <w:t>Dokumentansvar:</w:t>
            </w:r>
          </w:p>
        </w:tc>
        <w:tc>
          <w:tcPr>
            <w:tcW w:w="6977" w:type="dxa"/>
            <w:tcBorders>
              <w:top w:val="single" w:sz="4" w:space="0" w:color="auto"/>
            </w:tcBorders>
            <w:shd w:val="clear" w:color="auto" w:fill="auto"/>
          </w:tcPr>
          <w:p w:rsidR="003C4970" w:rsidRPr="00D9324C" w:rsidRDefault="009B2444" w:rsidP="00CA32E0">
            <w:pPr>
              <w:spacing w:before="60" w:after="60" w:line="240" w:lineRule="auto"/>
              <w:rPr>
                <w:rFonts w:cs="Arial"/>
                <w:szCs w:val="24"/>
              </w:rPr>
            </w:pPr>
            <w:r>
              <w:rPr>
                <w:rFonts w:cs="Arial"/>
                <w:szCs w:val="24"/>
              </w:rPr>
              <w:t>Seksjon opplæring i skole.</w:t>
            </w:r>
          </w:p>
        </w:tc>
      </w:tr>
      <w:tr w:rsidR="003C4970" w:rsidRPr="00D9324C" w:rsidTr="00D9324C">
        <w:tc>
          <w:tcPr>
            <w:tcW w:w="2235" w:type="dxa"/>
            <w:shd w:val="clear" w:color="auto" w:fill="auto"/>
          </w:tcPr>
          <w:p w:rsidR="003C4970" w:rsidRPr="00D9324C" w:rsidRDefault="003C4970" w:rsidP="00D9324C">
            <w:pPr>
              <w:spacing w:before="60" w:after="60" w:line="240" w:lineRule="auto"/>
              <w:rPr>
                <w:rFonts w:cs="Arial"/>
                <w:szCs w:val="24"/>
              </w:rPr>
            </w:pPr>
            <w:r w:rsidRPr="00D9324C">
              <w:rPr>
                <w:rFonts w:cs="Arial"/>
                <w:szCs w:val="24"/>
              </w:rPr>
              <w:t>Versjon:</w:t>
            </w:r>
          </w:p>
        </w:tc>
        <w:tc>
          <w:tcPr>
            <w:tcW w:w="6977" w:type="dxa"/>
            <w:shd w:val="clear" w:color="auto" w:fill="auto"/>
          </w:tcPr>
          <w:p w:rsidR="003C4970" w:rsidRPr="00D9324C" w:rsidRDefault="00A3289D" w:rsidP="00D9324C">
            <w:pPr>
              <w:spacing w:before="60" w:after="60" w:line="240" w:lineRule="auto"/>
              <w:rPr>
                <w:rFonts w:cs="Arial"/>
                <w:szCs w:val="24"/>
              </w:rPr>
            </w:pPr>
            <w:r>
              <w:rPr>
                <w:rFonts w:cs="Arial"/>
                <w:szCs w:val="24"/>
              </w:rPr>
              <w:t>1.6</w:t>
            </w:r>
            <w:bookmarkStart w:id="0" w:name="_GoBack"/>
            <w:bookmarkEnd w:id="0"/>
          </w:p>
        </w:tc>
      </w:tr>
      <w:tr w:rsidR="003C4970" w:rsidRPr="00D9324C" w:rsidTr="00D9324C">
        <w:tc>
          <w:tcPr>
            <w:tcW w:w="2235" w:type="dxa"/>
            <w:shd w:val="clear" w:color="auto" w:fill="auto"/>
          </w:tcPr>
          <w:p w:rsidR="003C4970" w:rsidRPr="00D9324C" w:rsidRDefault="003C4970" w:rsidP="00D9324C">
            <w:pPr>
              <w:spacing w:before="60" w:after="60" w:line="240" w:lineRule="auto"/>
              <w:rPr>
                <w:rFonts w:cs="Arial"/>
                <w:szCs w:val="24"/>
              </w:rPr>
            </w:pPr>
            <w:r w:rsidRPr="00D9324C">
              <w:rPr>
                <w:rFonts w:cs="Arial"/>
                <w:szCs w:val="24"/>
              </w:rPr>
              <w:t>Gyldig fra:</w:t>
            </w:r>
          </w:p>
        </w:tc>
        <w:tc>
          <w:tcPr>
            <w:tcW w:w="6977" w:type="dxa"/>
            <w:shd w:val="clear" w:color="auto" w:fill="auto"/>
          </w:tcPr>
          <w:p w:rsidR="003C4970" w:rsidRPr="00D9324C" w:rsidRDefault="00B52677" w:rsidP="00A4073F">
            <w:pPr>
              <w:spacing w:before="60" w:after="60" w:line="240" w:lineRule="auto"/>
              <w:rPr>
                <w:rFonts w:cs="Arial"/>
                <w:szCs w:val="24"/>
              </w:rPr>
            </w:pPr>
            <w:r>
              <w:rPr>
                <w:rFonts w:cs="Arial"/>
                <w:szCs w:val="24"/>
              </w:rPr>
              <w:t>01.04.16</w:t>
            </w:r>
          </w:p>
        </w:tc>
      </w:tr>
      <w:tr w:rsidR="003C4970" w:rsidRPr="00D9324C" w:rsidTr="00DA334F">
        <w:tc>
          <w:tcPr>
            <w:tcW w:w="2235" w:type="dxa"/>
            <w:shd w:val="clear" w:color="auto" w:fill="auto"/>
          </w:tcPr>
          <w:p w:rsidR="003C4970" w:rsidRPr="00D9324C" w:rsidRDefault="003C4970" w:rsidP="008F5BBD">
            <w:pPr>
              <w:spacing w:before="60" w:after="60" w:line="240" w:lineRule="auto"/>
              <w:rPr>
                <w:rFonts w:cs="Arial"/>
                <w:szCs w:val="24"/>
              </w:rPr>
            </w:pPr>
            <w:r>
              <w:rPr>
                <w:rFonts w:cs="Arial"/>
                <w:szCs w:val="24"/>
              </w:rPr>
              <w:t>Godkjent</w:t>
            </w:r>
            <w:r w:rsidRPr="00D9324C">
              <w:rPr>
                <w:rFonts w:cs="Arial"/>
                <w:szCs w:val="24"/>
              </w:rPr>
              <w:t xml:space="preserve"> av:</w:t>
            </w:r>
          </w:p>
        </w:tc>
        <w:tc>
          <w:tcPr>
            <w:tcW w:w="6977" w:type="dxa"/>
            <w:shd w:val="clear" w:color="auto" w:fill="auto"/>
          </w:tcPr>
          <w:p w:rsidR="003C4970" w:rsidRPr="00D9324C" w:rsidRDefault="00CA32E0" w:rsidP="008F5BBD">
            <w:pPr>
              <w:spacing w:before="60" w:after="60" w:line="240" w:lineRule="auto"/>
              <w:rPr>
                <w:rFonts w:cs="Arial"/>
                <w:szCs w:val="24"/>
              </w:rPr>
            </w:pPr>
            <w:r>
              <w:rPr>
                <w:rFonts w:cs="Arial"/>
                <w:szCs w:val="24"/>
              </w:rPr>
              <w:fldChar w:fldCharType="begin"/>
            </w:r>
            <w:r>
              <w:rPr>
                <w:rFonts w:cs="Arial"/>
                <w:szCs w:val="24"/>
              </w:rPr>
              <w:instrText xml:space="preserve"> DOCPROPERTY  Godkjent_av  \* MERGEFORMAT </w:instrText>
            </w:r>
            <w:r>
              <w:rPr>
                <w:rFonts w:cs="Arial"/>
                <w:szCs w:val="24"/>
              </w:rPr>
              <w:fldChar w:fldCharType="separate"/>
            </w:r>
            <w:r w:rsidR="00D7114A">
              <w:rPr>
                <w:rFonts w:cs="Arial"/>
                <w:szCs w:val="24"/>
              </w:rPr>
              <w:t>Godkjent av</w:t>
            </w:r>
            <w:r>
              <w:rPr>
                <w:rFonts w:cs="Arial"/>
                <w:szCs w:val="24"/>
              </w:rPr>
              <w:fldChar w:fldCharType="end"/>
            </w:r>
            <w:r w:rsidR="009B2444">
              <w:rPr>
                <w:rFonts w:cs="Arial"/>
                <w:szCs w:val="24"/>
              </w:rPr>
              <w:t xml:space="preserve"> seksjonssjef</w:t>
            </w:r>
          </w:p>
        </w:tc>
      </w:tr>
      <w:tr w:rsidR="003C4970" w:rsidRPr="00D9324C" w:rsidTr="00DA334F">
        <w:tc>
          <w:tcPr>
            <w:tcW w:w="2235" w:type="dxa"/>
            <w:tcBorders>
              <w:bottom w:val="single" w:sz="4" w:space="0" w:color="auto"/>
            </w:tcBorders>
            <w:shd w:val="clear" w:color="auto" w:fill="auto"/>
          </w:tcPr>
          <w:p w:rsidR="003C4970" w:rsidRPr="00D9324C" w:rsidRDefault="003C4970" w:rsidP="00D9324C">
            <w:pPr>
              <w:spacing w:before="60" w:after="60" w:line="240" w:lineRule="auto"/>
              <w:rPr>
                <w:rFonts w:cs="Arial"/>
                <w:szCs w:val="24"/>
              </w:rPr>
            </w:pPr>
            <w:r w:rsidRPr="00D9324C">
              <w:rPr>
                <w:rFonts w:cs="Arial"/>
                <w:szCs w:val="24"/>
              </w:rPr>
              <w:t>Saksnr:</w:t>
            </w:r>
          </w:p>
        </w:tc>
        <w:tc>
          <w:tcPr>
            <w:tcW w:w="6977" w:type="dxa"/>
            <w:tcBorders>
              <w:bottom w:val="single" w:sz="4" w:space="0" w:color="auto"/>
            </w:tcBorders>
            <w:shd w:val="clear" w:color="auto" w:fill="auto"/>
          </w:tcPr>
          <w:p w:rsidR="003C4970" w:rsidRPr="00D9324C" w:rsidRDefault="003C4970" w:rsidP="00D9324C">
            <w:pPr>
              <w:spacing w:before="60" w:after="60" w:line="240" w:lineRule="auto"/>
              <w:rPr>
                <w:rFonts w:cs="Arial"/>
                <w:szCs w:val="24"/>
              </w:rPr>
            </w:pPr>
          </w:p>
        </w:tc>
      </w:tr>
    </w:tbl>
    <w:p w:rsidR="002802F1" w:rsidRDefault="00E112D6" w:rsidP="00B35EE4">
      <w:pPr>
        <w:pStyle w:val="Overskrift1"/>
      </w:pPr>
      <w:r w:rsidRPr="00B35EE4">
        <w:t>Dokumenthistorik</w:t>
      </w:r>
      <w:r w:rsidR="002802F1">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871"/>
        <w:gridCol w:w="4411"/>
      </w:tblGrid>
      <w:tr w:rsidR="00BC065E" w:rsidTr="00AC0195">
        <w:tc>
          <w:tcPr>
            <w:tcW w:w="1951" w:type="dxa"/>
            <w:shd w:val="clear" w:color="auto" w:fill="8DB3E2"/>
          </w:tcPr>
          <w:p w:rsidR="00BC065E" w:rsidRPr="00AC0195" w:rsidRDefault="00BC065E" w:rsidP="00AC0195">
            <w:pPr>
              <w:spacing w:before="60" w:after="60" w:line="240" w:lineRule="auto"/>
              <w:rPr>
                <w:b/>
              </w:rPr>
            </w:pPr>
            <w:r w:rsidRPr="00AC0195">
              <w:rPr>
                <w:b/>
              </w:rPr>
              <w:t>Dato</w:t>
            </w:r>
          </w:p>
        </w:tc>
        <w:tc>
          <w:tcPr>
            <w:tcW w:w="2126" w:type="dxa"/>
            <w:shd w:val="clear" w:color="auto" w:fill="8DB3E2"/>
          </w:tcPr>
          <w:p w:rsidR="00BC065E" w:rsidRPr="00AC0195" w:rsidRDefault="00BC065E" w:rsidP="00AC0195">
            <w:pPr>
              <w:spacing w:before="60" w:after="60" w:line="240" w:lineRule="auto"/>
              <w:rPr>
                <w:b/>
              </w:rPr>
            </w:pPr>
            <w:r w:rsidRPr="00AC0195">
              <w:rPr>
                <w:b/>
              </w:rPr>
              <w:t>Endret av</w:t>
            </w:r>
          </w:p>
        </w:tc>
        <w:tc>
          <w:tcPr>
            <w:tcW w:w="5135" w:type="dxa"/>
            <w:shd w:val="clear" w:color="auto" w:fill="8DB3E2"/>
          </w:tcPr>
          <w:p w:rsidR="00BC065E" w:rsidRPr="00AC0195" w:rsidRDefault="00BC065E" w:rsidP="00AC0195">
            <w:pPr>
              <w:spacing w:before="60" w:after="60" w:line="240" w:lineRule="auto"/>
              <w:rPr>
                <w:b/>
              </w:rPr>
            </w:pPr>
            <w:r w:rsidRPr="00AC0195">
              <w:rPr>
                <w:b/>
              </w:rPr>
              <w:t>Hva er endret</w:t>
            </w:r>
          </w:p>
        </w:tc>
      </w:tr>
      <w:tr w:rsidR="00BC065E" w:rsidRPr="00E6462C" w:rsidTr="00AC0195">
        <w:tc>
          <w:tcPr>
            <w:tcW w:w="1951" w:type="dxa"/>
            <w:shd w:val="clear" w:color="auto" w:fill="auto"/>
          </w:tcPr>
          <w:p w:rsidR="00BC065E" w:rsidRDefault="009B2444" w:rsidP="00AC0195">
            <w:pPr>
              <w:spacing w:before="60" w:after="60"/>
            </w:pPr>
            <w:r>
              <w:t>2012</w:t>
            </w:r>
          </w:p>
          <w:p w:rsidR="00AC53F2" w:rsidRDefault="00AC53F2" w:rsidP="00AC53F2">
            <w:pPr>
              <w:spacing w:before="60" w:after="60"/>
            </w:pPr>
          </w:p>
        </w:tc>
        <w:tc>
          <w:tcPr>
            <w:tcW w:w="2126" w:type="dxa"/>
            <w:shd w:val="clear" w:color="auto" w:fill="auto"/>
          </w:tcPr>
          <w:p w:rsidR="00BC065E" w:rsidRDefault="00BC065E" w:rsidP="00AC0195">
            <w:pPr>
              <w:spacing w:before="60" w:after="60"/>
            </w:pPr>
          </w:p>
        </w:tc>
        <w:tc>
          <w:tcPr>
            <w:tcW w:w="5135" w:type="dxa"/>
            <w:shd w:val="clear" w:color="auto" w:fill="auto"/>
          </w:tcPr>
          <w:p w:rsidR="00A337F3" w:rsidRPr="008348BC" w:rsidRDefault="00A337F3" w:rsidP="00836A9B">
            <w:pPr>
              <w:spacing w:before="60" w:after="60"/>
            </w:pPr>
          </w:p>
        </w:tc>
      </w:tr>
      <w:tr w:rsidR="00B52677" w:rsidRPr="00E6462C" w:rsidTr="00AC0195">
        <w:tc>
          <w:tcPr>
            <w:tcW w:w="1951" w:type="dxa"/>
            <w:shd w:val="clear" w:color="auto" w:fill="auto"/>
          </w:tcPr>
          <w:p w:rsidR="00B52677" w:rsidRDefault="00B52677" w:rsidP="00B52677">
            <w:pPr>
              <w:spacing w:before="60" w:after="60"/>
            </w:pPr>
            <w:r>
              <w:t>01.02.15</w:t>
            </w:r>
          </w:p>
        </w:tc>
        <w:tc>
          <w:tcPr>
            <w:tcW w:w="2126" w:type="dxa"/>
            <w:shd w:val="clear" w:color="auto" w:fill="auto"/>
          </w:tcPr>
          <w:p w:rsidR="00B52677" w:rsidRDefault="00B52677" w:rsidP="00AC0195">
            <w:pPr>
              <w:spacing w:before="60" w:after="60"/>
            </w:pPr>
          </w:p>
        </w:tc>
        <w:tc>
          <w:tcPr>
            <w:tcW w:w="5135" w:type="dxa"/>
            <w:shd w:val="clear" w:color="auto" w:fill="auto"/>
          </w:tcPr>
          <w:p w:rsidR="00B52677" w:rsidRDefault="00B52677" w:rsidP="00836A9B">
            <w:pPr>
              <w:spacing w:before="60" w:after="60"/>
            </w:pPr>
            <w:r>
              <w:t>Dokumentet er revidert februar</w:t>
            </w:r>
            <w:r w:rsidRPr="008348BC">
              <w:t xml:space="preserve"> 201</w:t>
            </w:r>
            <w:r>
              <w:t>5</w:t>
            </w:r>
            <w:r w:rsidRPr="008348BC">
              <w:t xml:space="preserve"> i henhold til ny forskrift.</w:t>
            </w:r>
          </w:p>
        </w:tc>
      </w:tr>
      <w:tr w:rsidR="00B52677" w:rsidRPr="00E6462C" w:rsidTr="00AC0195">
        <w:tc>
          <w:tcPr>
            <w:tcW w:w="1951" w:type="dxa"/>
            <w:shd w:val="clear" w:color="auto" w:fill="auto"/>
          </w:tcPr>
          <w:p w:rsidR="00B52677" w:rsidRDefault="00B52677" w:rsidP="00AC0195">
            <w:pPr>
              <w:spacing w:before="60" w:after="60"/>
            </w:pPr>
            <w:r>
              <w:t>01.04.16</w:t>
            </w:r>
          </w:p>
        </w:tc>
        <w:tc>
          <w:tcPr>
            <w:tcW w:w="2126" w:type="dxa"/>
            <w:shd w:val="clear" w:color="auto" w:fill="auto"/>
          </w:tcPr>
          <w:p w:rsidR="00B52677" w:rsidRDefault="00B52677" w:rsidP="00AC0195">
            <w:pPr>
              <w:spacing w:before="60" w:after="60"/>
            </w:pPr>
            <w:r>
              <w:t>Drange/Mjåtveit</w:t>
            </w:r>
          </w:p>
        </w:tc>
        <w:tc>
          <w:tcPr>
            <w:tcW w:w="5135" w:type="dxa"/>
            <w:shd w:val="clear" w:color="auto" w:fill="auto"/>
          </w:tcPr>
          <w:p w:rsidR="00B52677" w:rsidRDefault="00365B84" w:rsidP="00836A9B">
            <w:pPr>
              <w:spacing w:before="60" w:after="60"/>
            </w:pPr>
            <w:r>
              <w:t>Mindre språklige endringer. Avsnitt om bruk av lyttetekster i engelsk og fremmedspråk er fjernet.</w:t>
            </w:r>
          </w:p>
        </w:tc>
      </w:tr>
      <w:tr w:rsidR="007B6779" w:rsidRPr="00E6462C" w:rsidTr="00AC0195">
        <w:tc>
          <w:tcPr>
            <w:tcW w:w="1951" w:type="dxa"/>
            <w:shd w:val="clear" w:color="auto" w:fill="auto"/>
          </w:tcPr>
          <w:p w:rsidR="007B6779" w:rsidRDefault="007E47B8" w:rsidP="007E47B8">
            <w:pPr>
              <w:spacing w:before="60" w:after="60"/>
            </w:pPr>
            <w:r>
              <w:t>0</w:t>
            </w:r>
            <w:r w:rsidR="007B6779">
              <w:t>5.</w:t>
            </w:r>
            <w:r>
              <w:t>01.</w:t>
            </w:r>
            <w:r w:rsidR="007B6779">
              <w:t>1</w:t>
            </w:r>
            <w:r>
              <w:t>7</w:t>
            </w:r>
          </w:p>
        </w:tc>
        <w:tc>
          <w:tcPr>
            <w:tcW w:w="2126" w:type="dxa"/>
            <w:shd w:val="clear" w:color="auto" w:fill="auto"/>
          </w:tcPr>
          <w:p w:rsidR="007B6779" w:rsidRDefault="00847A48" w:rsidP="00AC0195">
            <w:pPr>
              <w:spacing w:before="60" w:after="60"/>
            </w:pPr>
            <w:r>
              <w:t>Drange/</w:t>
            </w:r>
            <w:r w:rsidR="0035055A">
              <w:t>Mjåtveit/Eliassen</w:t>
            </w:r>
          </w:p>
        </w:tc>
        <w:tc>
          <w:tcPr>
            <w:tcW w:w="5135" w:type="dxa"/>
            <w:shd w:val="clear" w:color="auto" w:fill="auto"/>
          </w:tcPr>
          <w:p w:rsidR="007B6779" w:rsidRDefault="009829F6" w:rsidP="00836A9B">
            <w:pPr>
              <w:spacing w:before="60" w:after="60"/>
            </w:pPr>
            <w:r>
              <w:t>Tillegg om bruk av lyttetekst i fremmedspråk</w:t>
            </w:r>
          </w:p>
        </w:tc>
      </w:tr>
    </w:tbl>
    <w:p w:rsidR="00D73A13" w:rsidRPr="008513AF" w:rsidRDefault="00D73A13" w:rsidP="00D73A13"/>
    <w:p w:rsidR="004A6990" w:rsidRDefault="00365B84" w:rsidP="00365B84">
      <w:pPr>
        <w:pStyle w:val="Overskrift1"/>
      </w:pPr>
      <w:r>
        <w:t>Gjeldende retningslinjer</w:t>
      </w:r>
    </w:p>
    <w:p w:rsidR="00365B84" w:rsidRPr="008348BC" w:rsidRDefault="00365B84" w:rsidP="00365B84">
      <w:pPr>
        <w:rPr>
          <w:b/>
        </w:rPr>
      </w:pPr>
      <w:r>
        <w:rPr>
          <w:b/>
        </w:rPr>
        <w:t>Forberedelse</w:t>
      </w:r>
    </w:p>
    <w:p w:rsidR="00365B84" w:rsidRDefault="00365B84" w:rsidP="00365B84">
      <w:pPr>
        <w:numPr>
          <w:ilvl w:val="0"/>
          <w:numId w:val="5"/>
        </w:numPr>
        <w:spacing w:after="0"/>
        <w:rPr>
          <w:rFonts w:cs="Arial"/>
          <w:iCs/>
          <w:szCs w:val="24"/>
        </w:rPr>
      </w:pPr>
      <w:r w:rsidRPr="00623C12">
        <w:rPr>
          <w:rFonts w:cs="Arial"/>
          <w:iCs/>
          <w:szCs w:val="24"/>
        </w:rPr>
        <w:t xml:space="preserve">Eleven skal få vite hvilket fag han/hun skal opp til eksamen i, 48 timer før selve eksamen. Lørdag, søndag, høytidsdager og helligdager skal ikke regnes med. </w:t>
      </w:r>
    </w:p>
    <w:p w:rsidR="00365B84" w:rsidRPr="00366CE0" w:rsidRDefault="00365B84" w:rsidP="00365B84">
      <w:pPr>
        <w:numPr>
          <w:ilvl w:val="0"/>
          <w:numId w:val="5"/>
        </w:numPr>
        <w:spacing w:after="0"/>
        <w:ind w:left="708"/>
        <w:rPr>
          <w:rFonts w:cs="Arial"/>
          <w:iCs/>
          <w:szCs w:val="24"/>
        </w:rPr>
      </w:pPr>
      <w:r w:rsidRPr="00366CE0">
        <w:rPr>
          <w:rFonts w:cs="Arial"/>
          <w:iCs/>
          <w:szCs w:val="24"/>
        </w:rPr>
        <w:t>Det skal være 24 timers forberedelsedel i alle fag der alle hjelpemidler er tillatt. Forberedelsedelen er en obligatorisk skoledag dagen før eksamen der eleven har rett på et pedagogisk tilbud med veiledning fra en lærer, fortrinnsvis elevens faglærer. Rektor bestemmer tidspunkt for slik veiledning.</w:t>
      </w:r>
    </w:p>
    <w:p w:rsidR="00365B84" w:rsidRPr="00FD11A6" w:rsidRDefault="00365B84" w:rsidP="00365B84">
      <w:pPr>
        <w:numPr>
          <w:ilvl w:val="0"/>
          <w:numId w:val="8"/>
        </w:numPr>
        <w:snapToGrid w:val="0"/>
        <w:spacing w:after="0"/>
        <w:rPr>
          <w:rFonts w:cs="Arial"/>
          <w:iCs/>
          <w:color w:val="FF0000"/>
          <w:szCs w:val="24"/>
        </w:rPr>
      </w:pPr>
      <w:r w:rsidRPr="00FD11A6">
        <w:rPr>
          <w:rFonts w:cs="Arial"/>
          <w:iCs/>
          <w:szCs w:val="24"/>
        </w:rPr>
        <w:lastRenderedPageBreak/>
        <w:t xml:space="preserve">Når forberedelsedelen begynner, skal elevene få trekke et tema/problemstilling med tilknytning til flere hovedområder og kompetansemål. Temaene/problemstillingene for partiet bør til sammen dekke alle hovedområder i læreplanen i faget. Temaet/problemstillingen til den enkelte elev må være tilstrekkelig omfattende til at det vil være naturlig å trekke inn flere deler av læreplanen under selve eksamineringen. Det er viktig at eleven får vist bredden i sin kompetanse i faget </w:t>
      </w:r>
      <w:r w:rsidRPr="00FD11A6">
        <w:rPr>
          <w:rFonts w:cs="Arial"/>
          <w:szCs w:val="24"/>
        </w:rPr>
        <w:t xml:space="preserve">(Forskrift til opplæringsloven § 3–30). </w:t>
      </w:r>
    </w:p>
    <w:p w:rsidR="00365B84" w:rsidRPr="00FD11A6" w:rsidRDefault="00365B84" w:rsidP="00365B84">
      <w:pPr>
        <w:numPr>
          <w:ilvl w:val="0"/>
          <w:numId w:val="8"/>
        </w:numPr>
        <w:snapToGrid w:val="0"/>
        <w:spacing w:after="0"/>
        <w:rPr>
          <w:rFonts w:cs="Arial"/>
          <w:iCs/>
          <w:color w:val="FF0000"/>
          <w:szCs w:val="24"/>
        </w:rPr>
      </w:pPr>
      <w:r w:rsidRPr="00FD11A6">
        <w:rPr>
          <w:rFonts w:cs="Arial"/>
          <w:iCs/>
          <w:szCs w:val="24"/>
        </w:rPr>
        <w:t>Aktuelle kompetansemål knyttet til tema/problemstilling, skal gjøres kjent for eleven samtidig med at tema/problemstilling blir trukket. Forberedelsen skal hjelpe eleven til å se sammenhengen mellom temaet eller problemstillingen for eksamen og læreplanen. Vurderingskriteriene i faget må være kjent for eleven.</w:t>
      </w:r>
    </w:p>
    <w:p w:rsidR="00365B84" w:rsidRPr="00641BE1" w:rsidRDefault="00365B84" w:rsidP="00365B84">
      <w:pPr>
        <w:numPr>
          <w:ilvl w:val="0"/>
          <w:numId w:val="8"/>
        </w:numPr>
        <w:snapToGrid w:val="0"/>
        <w:spacing w:after="0"/>
        <w:rPr>
          <w:rFonts w:cs="Arial"/>
          <w:iCs/>
          <w:color w:val="FF0000"/>
          <w:szCs w:val="24"/>
        </w:rPr>
      </w:pPr>
      <w:r w:rsidRPr="00641BE1">
        <w:rPr>
          <w:rFonts w:cs="Arial"/>
          <w:iCs/>
          <w:szCs w:val="24"/>
        </w:rPr>
        <w:t>Dokumentasjon, notater, datafiler osv. som er produsert i forberedelsestida kan tas med til eksamen,</w:t>
      </w:r>
      <w:r w:rsidRPr="00641BE1">
        <w:rPr>
          <w:rFonts w:cs="Arial"/>
          <w:iCs/>
          <w:color w:val="FF0000"/>
          <w:szCs w:val="24"/>
        </w:rPr>
        <w:t xml:space="preserve"> </w:t>
      </w:r>
      <w:r w:rsidRPr="00641BE1">
        <w:rPr>
          <w:rFonts w:cs="Arial"/>
          <w:iCs/>
          <w:szCs w:val="24"/>
        </w:rPr>
        <w:t>men skal ikke inngå i vurderingsgrunnlaget.</w:t>
      </w:r>
    </w:p>
    <w:p w:rsidR="00365B84" w:rsidRPr="009A2041" w:rsidRDefault="00365B84" w:rsidP="00365B84">
      <w:pPr>
        <w:numPr>
          <w:ilvl w:val="0"/>
          <w:numId w:val="5"/>
        </w:numPr>
        <w:spacing w:after="0"/>
        <w:rPr>
          <w:rFonts w:cs="Arial"/>
          <w:iCs/>
          <w:szCs w:val="24"/>
        </w:rPr>
      </w:pPr>
      <w:r w:rsidRPr="009A2041">
        <w:rPr>
          <w:rFonts w:cs="Arial"/>
          <w:iCs/>
          <w:szCs w:val="24"/>
        </w:rPr>
        <w:t>Elevene kan gjerne samarbeide i forberedelse</w:t>
      </w:r>
      <w:r>
        <w:rPr>
          <w:rFonts w:cs="Arial"/>
          <w:iCs/>
          <w:szCs w:val="24"/>
        </w:rPr>
        <w:t>s</w:t>
      </w:r>
      <w:r w:rsidRPr="009A2041">
        <w:rPr>
          <w:rFonts w:cs="Arial"/>
          <w:iCs/>
          <w:szCs w:val="24"/>
        </w:rPr>
        <w:t>tida, men selve eksaminasjonen er individuell.</w:t>
      </w:r>
    </w:p>
    <w:p w:rsidR="00365B84" w:rsidRPr="009A2041" w:rsidRDefault="00365B84" w:rsidP="00365B84">
      <w:pPr>
        <w:ind w:left="1080"/>
        <w:rPr>
          <w:rFonts w:cs="Arial"/>
          <w:iCs/>
          <w:szCs w:val="24"/>
        </w:rPr>
      </w:pPr>
    </w:p>
    <w:p w:rsidR="00365B84" w:rsidRPr="009A2041" w:rsidRDefault="00365B84" w:rsidP="00365B84">
      <w:pPr>
        <w:rPr>
          <w:rFonts w:cs="Arial"/>
          <w:b/>
          <w:iCs/>
          <w:szCs w:val="24"/>
        </w:rPr>
      </w:pPr>
      <w:r>
        <w:rPr>
          <w:rFonts w:cs="Arial"/>
          <w:b/>
          <w:iCs/>
          <w:szCs w:val="24"/>
        </w:rPr>
        <w:t>Eksaminator og sensor</w:t>
      </w:r>
    </w:p>
    <w:p w:rsidR="00365B84" w:rsidRDefault="00365B84" w:rsidP="00365B84">
      <w:pPr>
        <w:autoSpaceDE w:val="0"/>
        <w:autoSpaceDN w:val="0"/>
        <w:adjustRightInd w:val="0"/>
        <w:rPr>
          <w:rFonts w:cs="Arial"/>
          <w:szCs w:val="24"/>
        </w:rPr>
      </w:pPr>
      <w:r w:rsidRPr="009A2041">
        <w:rPr>
          <w:rFonts w:cs="Arial"/>
          <w:szCs w:val="24"/>
        </w:rPr>
        <w:t>Ved muntlig eksamen skal det være to sensore</w:t>
      </w:r>
      <w:r>
        <w:rPr>
          <w:rFonts w:cs="Arial"/>
          <w:szCs w:val="24"/>
        </w:rPr>
        <w:t>r. Normalt er f</w:t>
      </w:r>
      <w:r w:rsidRPr="009A2041">
        <w:rPr>
          <w:rFonts w:cs="Arial"/>
          <w:szCs w:val="24"/>
        </w:rPr>
        <w:t xml:space="preserve">aglærer </w:t>
      </w:r>
      <w:r>
        <w:rPr>
          <w:rFonts w:cs="Arial"/>
          <w:szCs w:val="24"/>
        </w:rPr>
        <w:t>den ene, hun/ han skal også</w:t>
      </w:r>
      <w:r w:rsidRPr="009A2041">
        <w:rPr>
          <w:rFonts w:cs="Arial"/>
          <w:szCs w:val="24"/>
        </w:rPr>
        <w:t xml:space="preserve"> være</w:t>
      </w:r>
      <w:r>
        <w:rPr>
          <w:rFonts w:cs="Arial"/>
          <w:szCs w:val="24"/>
        </w:rPr>
        <w:t xml:space="preserve"> eksaminator. Den andre </w:t>
      </w:r>
      <w:r w:rsidRPr="009A2041">
        <w:rPr>
          <w:rFonts w:cs="Arial"/>
          <w:szCs w:val="24"/>
        </w:rPr>
        <w:t>sensor</w:t>
      </w:r>
      <w:r>
        <w:rPr>
          <w:rFonts w:cs="Arial"/>
          <w:szCs w:val="24"/>
        </w:rPr>
        <w:t>en</w:t>
      </w:r>
      <w:r w:rsidRPr="009A2041">
        <w:rPr>
          <w:rFonts w:cs="Arial"/>
          <w:szCs w:val="24"/>
        </w:rPr>
        <w:t xml:space="preserve"> skal ikke være tilsatt ved eksamensskolen. </w:t>
      </w:r>
      <w:r>
        <w:rPr>
          <w:rFonts w:cs="Arial"/>
          <w:szCs w:val="24"/>
        </w:rPr>
        <w:t>Faglærer har plikt til å utarbei</w:t>
      </w:r>
      <w:r w:rsidR="007B6779">
        <w:rPr>
          <w:rFonts w:cs="Arial"/>
          <w:szCs w:val="24"/>
        </w:rPr>
        <w:t>de forslag til eksamensoppgaver som sendes 2.sensor seinest 10 dager før eksamensdagen.</w:t>
      </w:r>
    </w:p>
    <w:p w:rsidR="00365B84" w:rsidRPr="009A2041" w:rsidRDefault="00365B84" w:rsidP="00365B84">
      <w:pPr>
        <w:rPr>
          <w:rFonts w:cs="Arial"/>
          <w:iCs/>
          <w:szCs w:val="24"/>
        </w:rPr>
      </w:pPr>
    </w:p>
    <w:p w:rsidR="00365B84" w:rsidRPr="009A2041" w:rsidRDefault="00365B84" w:rsidP="00365B84">
      <w:pPr>
        <w:rPr>
          <w:rFonts w:cs="Arial"/>
          <w:b/>
          <w:iCs/>
          <w:szCs w:val="24"/>
        </w:rPr>
      </w:pPr>
      <w:r>
        <w:rPr>
          <w:rFonts w:cs="Arial"/>
          <w:b/>
          <w:iCs/>
          <w:szCs w:val="24"/>
        </w:rPr>
        <w:t>Gjennomføring av eksamen</w:t>
      </w:r>
    </w:p>
    <w:p w:rsidR="00365B84" w:rsidRPr="008348BC" w:rsidRDefault="00365B84" w:rsidP="00365B84">
      <w:pPr>
        <w:widowControl w:val="0"/>
        <w:numPr>
          <w:ilvl w:val="0"/>
          <w:numId w:val="5"/>
        </w:numPr>
        <w:spacing w:after="0"/>
        <w:rPr>
          <w:rFonts w:cs="Arial"/>
          <w:iCs/>
          <w:color w:val="0070C0"/>
          <w:szCs w:val="24"/>
        </w:rPr>
      </w:pPr>
      <w:r w:rsidRPr="009A2041">
        <w:rPr>
          <w:rFonts w:cs="Arial"/>
          <w:iCs/>
          <w:szCs w:val="24"/>
        </w:rPr>
        <w:t>Muntlig eksamen er todelt og varer i inntil 30 minutter.</w:t>
      </w:r>
      <w:r w:rsidRPr="000F1230">
        <w:rPr>
          <w:rFonts w:cs="Arial"/>
          <w:iCs/>
          <w:szCs w:val="24"/>
        </w:rPr>
        <w:t xml:space="preserve"> </w:t>
      </w:r>
      <w:r w:rsidRPr="005E2DD7">
        <w:rPr>
          <w:rFonts w:cs="Arial"/>
          <w:iCs/>
          <w:szCs w:val="24"/>
        </w:rPr>
        <w:t xml:space="preserve">Første del </w:t>
      </w:r>
      <w:r w:rsidRPr="000F1230">
        <w:rPr>
          <w:rFonts w:cs="Arial"/>
          <w:iCs/>
          <w:szCs w:val="24"/>
        </w:rPr>
        <w:t xml:space="preserve">er en elevstyrt presentasjon </w:t>
      </w:r>
      <w:r>
        <w:rPr>
          <w:rFonts w:cs="Arial"/>
          <w:iCs/>
          <w:szCs w:val="24"/>
        </w:rPr>
        <w:t>med utgangspunkt i</w:t>
      </w:r>
      <w:r w:rsidRPr="000F1230">
        <w:rPr>
          <w:rFonts w:cs="Arial"/>
          <w:iCs/>
          <w:szCs w:val="24"/>
        </w:rPr>
        <w:t xml:space="preserve"> te</w:t>
      </w:r>
      <w:r>
        <w:rPr>
          <w:rFonts w:cs="Arial"/>
          <w:iCs/>
          <w:szCs w:val="24"/>
        </w:rPr>
        <w:t xml:space="preserve">ma/problemstilling </w:t>
      </w:r>
      <w:r w:rsidRPr="005E2DD7">
        <w:rPr>
          <w:rFonts w:cs="Arial"/>
          <w:iCs/>
          <w:szCs w:val="24"/>
        </w:rPr>
        <w:t>og kompetansemål fra forberedelsedelen</w:t>
      </w:r>
      <w:r>
        <w:rPr>
          <w:rFonts w:cs="Arial"/>
          <w:iCs/>
          <w:szCs w:val="24"/>
        </w:rPr>
        <w:t>.</w:t>
      </w:r>
      <w:r w:rsidRPr="00922B8A">
        <w:rPr>
          <w:rFonts w:cs="Arial"/>
          <w:iCs/>
          <w:szCs w:val="24"/>
        </w:rPr>
        <w:t xml:space="preserve"> </w:t>
      </w:r>
      <w:r>
        <w:rPr>
          <w:rFonts w:cs="Arial"/>
          <w:iCs/>
          <w:szCs w:val="24"/>
        </w:rPr>
        <w:t>De</w:t>
      </w:r>
      <w:r w:rsidRPr="000F1230">
        <w:rPr>
          <w:rFonts w:cs="Arial"/>
          <w:iCs/>
          <w:szCs w:val="24"/>
        </w:rPr>
        <w:t>n elevstyrte delen kan være på inntil 10 minutter</w:t>
      </w:r>
      <w:r>
        <w:rPr>
          <w:rFonts w:cs="Arial"/>
          <w:iCs/>
          <w:szCs w:val="24"/>
        </w:rPr>
        <w:t xml:space="preserve"> og danner utgangspunkt for den videre eksamineringen.</w:t>
      </w:r>
    </w:p>
    <w:p w:rsidR="00365B84" w:rsidRPr="00922B8A" w:rsidRDefault="00365B84" w:rsidP="00365B84">
      <w:pPr>
        <w:ind w:left="720"/>
        <w:rPr>
          <w:rFonts w:cs="Arial"/>
          <w:iCs/>
          <w:color w:val="0070C0"/>
          <w:szCs w:val="24"/>
        </w:rPr>
      </w:pPr>
    </w:p>
    <w:p w:rsidR="0035055A" w:rsidRDefault="00365B84" w:rsidP="00365B84">
      <w:pPr>
        <w:numPr>
          <w:ilvl w:val="0"/>
          <w:numId w:val="5"/>
        </w:numPr>
        <w:spacing w:after="0"/>
        <w:rPr>
          <w:rFonts w:cs="Arial"/>
          <w:iCs/>
          <w:szCs w:val="24"/>
        </w:rPr>
      </w:pPr>
      <w:r w:rsidRPr="008348BC">
        <w:rPr>
          <w:rFonts w:cs="Arial"/>
          <w:iCs/>
          <w:szCs w:val="24"/>
          <w:lang w:val="nn-NO"/>
        </w:rPr>
        <w:t xml:space="preserve">Andre del av eksamen er styrt av eksaminator. </w:t>
      </w:r>
      <w:r w:rsidRPr="00011175">
        <w:rPr>
          <w:rFonts w:cs="Arial"/>
          <w:iCs/>
          <w:szCs w:val="24"/>
        </w:rPr>
        <w:t>Her vil det bli stilt utdypende spørsmål til det eleven har presentert.  (jfr. avsnitt Forberedelse). I tillegg</w:t>
      </w:r>
      <w:r w:rsidRPr="00011175">
        <w:rPr>
          <w:rFonts w:cs="Arial"/>
          <w:iCs/>
          <w:color w:val="0070C0"/>
          <w:szCs w:val="24"/>
        </w:rPr>
        <w:t xml:space="preserve"> </w:t>
      </w:r>
      <w:r w:rsidRPr="00011175">
        <w:rPr>
          <w:rFonts w:cs="Arial"/>
          <w:iCs/>
          <w:szCs w:val="24"/>
        </w:rPr>
        <w:t>må eleven kunne vise kompetanse innenfor andre deler av læreplanen som er relevant i forhold til tema/problemstilling. Hensikten er at eleven får mulighet til å vise bredden i sin kompetanse i faget.</w:t>
      </w:r>
      <w:r w:rsidR="007B6779">
        <w:rPr>
          <w:rFonts w:cs="Arial"/>
          <w:iCs/>
          <w:szCs w:val="24"/>
        </w:rPr>
        <w:t xml:space="preserve"> Sensor skal ikke lete etter den kompetansen eleven ikke har (se også retningslinjer for eksaminator og sensor</w:t>
      </w:r>
    </w:p>
    <w:p w:rsidR="0035055A" w:rsidRDefault="0035055A">
      <w:pPr>
        <w:spacing w:after="0" w:line="240" w:lineRule="auto"/>
        <w:rPr>
          <w:rFonts w:cs="Arial"/>
          <w:iCs/>
          <w:szCs w:val="24"/>
        </w:rPr>
      </w:pPr>
      <w:r>
        <w:rPr>
          <w:rFonts w:cs="Arial"/>
          <w:iCs/>
          <w:szCs w:val="24"/>
        </w:rPr>
        <w:br w:type="page"/>
      </w:r>
    </w:p>
    <w:p w:rsidR="00365B84" w:rsidRDefault="00365B84" w:rsidP="0035055A">
      <w:pPr>
        <w:spacing w:after="0"/>
        <w:rPr>
          <w:rFonts w:cs="Arial"/>
          <w:iCs/>
          <w:szCs w:val="24"/>
        </w:rPr>
      </w:pPr>
    </w:p>
    <w:p w:rsidR="0035055A" w:rsidRPr="0035055A" w:rsidRDefault="0035055A" w:rsidP="00190A4A">
      <w:pPr>
        <w:numPr>
          <w:ilvl w:val="0"/>
          <w:numId w:val="5"/>
        </w:numPr>
        <w:spacing w:after="0"/>
        <w:rPr>
          <w:rFonts w:cs="Arial"/>
          <w:iCs/>
          <w:szCs w:val="24"/>
        </w:rPr>
      </w:pPr>
      <w:r w:rsidRPr="0035055A">
        <w:rPr>
          <w:rFonts w:cs="Arial"/>
          <w:iCs/>
          <w:szCs w:val="24"/>
          <w:u w:val="single"/>
        </w:rPr>
        <w:t>Bruk av lyttetekst i fremmedspråk</w:t>
      </w:r>
    </w:p>
    <w:p w:rsidR="009829F6" w:rsidRDefault="00847A48" w:rsidP="0035055A">
      <w:pPr>
        <w:spacing w:after="0"/>
        <w:ind w:left="708"/>
        <w:rPr>
          <w:rFonts w:cs="Arial"/>
          <w:iCs/>
          <w:szCs w:val="24"/>
        </w:rPr>
      </w:pPr>
      <w:r>
        <w:rPr>
          <w:rFonts w:cs="Arial"/>
          <w:iCs/>
          <w:szCs w:val="24"/>
        </w:rPr>
        <w:t>Faglærer kan velge å la en lyttetekst inngå i eksamen</w:t>
      </w:r>
      <w:r w:rsidR="009829F6">
        <w:rPr>
          <w:rFonts w:cs="Arial"/>
          <w:iCs/>
          <w:szCs w:val="24"/>
        </w:rPr>
        <w:t xml:space="preserve"> i fremmedspråk.</w:t>
      </w:r>
      <w:r>
        <w:rPr>
          <w:rFonts w:cs="Arial"/>
          <w:iCs/>
          <w:szCs w:val="24"/>
        </w:rPr>
        <w:t xml:space="preserve"> </w:t>
      </w:r>
      <w:r w:rsidR="009829F6">
        <w:rPr>
          <w:rFonts w:cs="Arial"/>
          <w:iCs/>
          <w:szCs w:val="24"/>
        </w:rPr>
        <w:t xml:space="preserve">Lytteteksten </w:t>
      </w:r>
      <w:r w:rsidR="0035055A">
        <w:rPr>
          <w:rFonts w:cs="Arial"/>
          <w:iCs/>
          <w:szCs w:val="24"/>
        </w:rPr>
        <w:t>skal</w:t>
      </w:r>
      <w:r w:rsidR="009829F6">
        <w:rPr>
          <w:rFonts w:cs="Arial"/>
          <w:iCs/>
          <w:szCs w:val="24"/>
        </w:rPr>
        <w:t xml:space="preserve"> godkjennes av sensor i god tid før eksamen og gå inn som en helhet i </w:t>
      </w:r>
      <w:r w:rsidR="003D422D">
        <w:rPr>
          <w:rFonts w:cs="Arial"/>
          <w:iCs/>
          <w:szCs w:val="24"/>
        </w:rPr>
        <w:t>eksamen og gi eleven mulighet til å vise bredden i sin kompetanse</w:t>
      </w:r>
      <w:r w:rsidR="009829F6">
        <w:rPr>
          <w:rFonts w:cs="Arial"/>
          <w:iCs/>
          <w:szCs w:val="24"/>
        </w:rPr>
        <w:t>.</w:t>
      </w:r>
    </w:p>
    <w:p w:rsidR="0035055A" w:rsidRDefault="0035055A" w:rsidP="0035055A">
      <w:pPr>
        <w:spacing w:after="0"/>
        <w:ind w:left="708"/>
        <w:rPr>
          <w:rFonts w:cs="Arial"/>
          <w:iCs/>
          <w:szCs w:val="24"/>
        </w:rPr>
      </w:pPr>
    </w:p>
    <w:p w:rsidR="004251DA" w:rsidRDefault="009829F6" w:rsidP="009829F6">
      <w:pPr>
        <w:spacing w:after="0"/>
        <w:ind w:left="720"/>
        <w:rPr>
          <w:rFonts w:cs="Arial"/>
          <w:iCs/>
          <w:szCs w:val="24"/>
        </w:rPr>
      </w:pPr>
      <w:r>
        <w:rPr>
          <w:rFonts w:cs="Arial"/>
          <w:iCs/>
          <w:szCs w:val="24"/>
        </w:rPr>
        <w:t xml:space="preserve">Bruk av lyttetekst for å prøve elevens </w:t>
      </w:r>
      <w:r w:rsidR="00847A48">
        <w:rPr>
          <w:rFonts w:cs="Arial"/>
          <w:iCs/>
          <w:szCs w:val="24"/>
        </w:rPr>
        <w:t>lytteforståelse</w:t>
      </w:r>
      <w:r>
        <w:rPr>
          <w:rFonts w:cs="Arial"/>
          <w:iCs/>
          <w:szCs w:val="24"/>
        </w:rPr>
        <w:t>,</w:t>
      </w:r>
      <w:r w:rsidR="00847A48">
        <w:rPr>
          <w:rFonts w:cs="Arial"/>
          <w:iCs/>
          <w:szCs w:val="24"/>
        </w:rPr>
        <w:t xml:space="preserve"> bør i så fall legges inn etter den elevstyrte presentasjonen</w:t>
      </w:r>
      <w:r w:rsidR="003D422D">
        <w:rPr>
          <w:rFonts w:cs="Arial"/>
          <w:iCs/>
          <w:szCs w:val="24"/>
        </w:rPr>
        <w:t xml:space="preserve"> og sammen med denne ha funksjon som en innledning til den lærerstyrte delen av eksaminasjonen. </w:t>
      </w:r>
      <w:r>
        <w:rPr>
          <w:rFonts w:cs="Arial"/>
          <w:iCs/>
          <w:szCs w:val="24"/>
        </w:rPr>
        <w:t xml:space="preserve"> </w:t>
      </w:r>
      <w:r w:rsidR="006B4273">
        <w:rPr>
          <w:rFonts w:cs="Arial"/>
          <w:iCs/>
          <w:szCs w:val="24"/>
        </w:rPr>
        <w:t>(</w:t>
      </w:r>
      <w:hyperlink r:id="rId8" w:history="1">
        <w:r w:rsidR="006B4273" w:rsidRPr="00151434">
          <w:rPr>
            <w:rStyle w:val="Hyperkobling"/>
            <w:rFonts w:cs="Arial"/>
            <w:iCs/>
            <w:szCs w:val="24"/>
          </w:rPr>
          <w:t>http://www.udir.no/eksamen-og-prover/eksamen/muntlig-eksamen/</w:t>
        </w:r>
      </w:hyperlink>
      <w:r w:rsidR="00650306">
        <w:rPr>
          <w:rFonts w:cs="Arial"/>
          <w:iCs/>
          <w:szCs w:val="24"/>
        </w:rPr>
        <w:t>)</w:t>
      </w:r>
    </w:p>
    <w:p w:rsidR="006B4273" w:rsidRDefault="006B4273" w:rsidP="009829F6">
      <w:pPr>
        <w:spacing w:after="0"/>
        <w:ind w:left="720"/>
        <w:rPr>
          <w:rFonts w:cs="Arial"/>
          <w:iCs/>
          <w:szCs w:val="24"/>
        </w:rPr>
      </w:pPr>
    </w:p>
    <w:p w:rsidR="00365B84" w:rsidRPr="00E355FF" w:rsidRDefault="00365B84" w:rsidP="00365B84">
      <w:pPr>
        <w:rPr>
          <w:rFonts w:cs="Arial"/>
          <w:b/>
          <w:iCs/>
          <w:szCs w:val="24"/>
        </w:rPr>
      </w:pPr>
    </w:p>
    <w:p w:rsidR="00365B84" w:rsidRPr="009A2041" w:rsidRDefault="00365B84" w:rsidP="00365B84">
      <w:pPr>
        <w:rPr>
          <w:rFonts w:cs="Arial"/>
          <w:b/>
          <w:iCs/>
          <w:szCs w:val="24"/>
        </w:rPr>
      </w:pPr>
      <w:r>
        <w:rPr>
          <w:rFonts w:cs="Arial"/>
          <w:b/>
          <w:iCs/>
          <w:szCs w:val="24"/>
        </w:rPr>
        <w:t>Vurdering</w:t>
      </w:r>
    </w:p>
    <w:p w:rsidR="004A6990" w:rsidRPr="00294AE0" w:rsidRDefault="00365B84" w:rsidP="00D26F42">
      <w:pPr>
        <w:numPr>
          <w:ilvl w:val="0"/>
          <w:numId w:val="8"/>
        </w:numPr>
        <w:snapToGrid w:val="0"/>
        <w:spacing w:after="0" w:line="240" w:lineRule="auto"/>
        <w:rPr>
          <w:rFonts w:cs="Arial"/>
          <w:iCs/>
          <w:szCs w:val="24"/>
        </w:rPr>
      </w:pPr>
      <w:r w:rsidRPr="00294AE0">
        <w:rPr>
          <w:rFonts w:cs="Arial"/>
          <w:iCs/>
          <w:szCs w:val="24"/>
        </w:rPr>
        <w:t>Eleven skal vurderes på grunnlag av den kompetansen som eleven viser på selve eksamen. Presentasjonen er utgangspunkt for eksamineringen</w:t>
      </w:r>
      <w:r w:rsidR="0035055A">
        <w:rPr>
          <w:rFonts w:cs="Arial"/>
          <w:iCs/>
          <w:szCs w:val="24"/>
        </w:rPr>
        <w:t xml:space="preserve"> og</w:t>
      </w:r>
      <w:r w:rsidRPr="00294AE0">
        <w:rPr>
          <w:rFonts w:cs="Arial"/>
          <w:iCs/>
          <w:szCs w:val="24"/>
        </w:rPr>
        <w:t xml:space="preserve"> skal ikke vurderes isolert sett, men i tilknytning til utdypingsspørsmål/samtale. I tillegg skal kompetansen eleven viser i andre deler av læreplanen, som er relevante i forhold til tema/problemstilling, vurderes. Sensor skal ikke lete etter den kompetansen eleven ikke har. (Se også «Retningslinjer for eksaminator og sensor».)</w:t>
      </w:r>
    </w:p>
    <w:sectPr w:rsidR="004A6990" w:rsidRPr="00294AE0" w:rsidSect="00DA334F">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4A" w:rsidRDefault="00D7114A" w:rsidP="00D9324C">
      <w:pPr>
        <w:spacing w:after="0" w:line="240" w:lineRule="auto"/>
      </w:pPr>
      <w:r>
        <w:separator/>
      </w:r>
    </w:p>
  </w:endnote>
  <w:endnote w:type="continuationSeparator" w:id="0">
    <w:p w:rsidR="00D7114A" w:rsidRDefault="00D7114A" w:rsidP="00D9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E0" w:rsidRPr="00CA32E0" w:rsidRDefault="00CA32E0" w:rsidP="00CA32E0">
    <w:pPr>
      <w:pStyle w:val="Bunntekst"/>
      <w:pBdr>
        <w:bottom w:val="single" w:sz="12" w:space="1" w:color="auto"/>
      </w:pBdr>
      <w:rPr>
        <w:sz w:val="20"/>
        <w:szCs w:val="20"/>
      </w:rPr>
    </w:pPr>
  </w:p>
  <w:p w:rsidR="00494EA4" w:rsidRPr="00CA32E0" w:rsidRDefault="00CA32E0" w:rsidP="00CA32E0">
    <w:pPr>
      <w:pStyle w:val="Bunntekst"/>
    </w:pPr>
    <w:r w:rsidRPr="00CA32E0">
      <w:rPr>
        <w:sz w:val="20"/>
        <w:szCs w:val="20"/>
      </w:rPr>
      <w:tab/>
    </w:r>
    <w:r w:rsidRPr="00CA32E0">
      <w:rPr>
        <w:sz w:val="20"/>
        <w:szCs w:val="20"/>
      </w:rPr>
      <w:tab/>
    </w:r>
    <w:r>
      <w:rPr>
        <w:sz w:val="20"/>
        <w:szCs w:val="20"/>
      </w:rPr>
      <w:t xml:space="preserve">side </w:t>
    </w:r>
    <w:r>
      <w:rPr>
        <w:sz w:val="20"/>
        <w:szCs w:val="20"/>
      </w:rPr>
      <w:fldChar w:fldCharType="begin"/>
    </w:r>
    <w:r>
      <w:rPr>
        <w:sz w:val="20"/>
        <w:szCs w:val="20"/>
      </w:rPr>
      <w:instrText xml:space="preserve"> PAGE   \* MERGEFORMAT </w:instrText>
    </w:r>
    <w:r>
      <w:rPr>
        <w:sz w:val="20"/>
        <w:szCs w:val="20"/>
      </w:rPr>
      <w:fldChar w:fldCharType="separate"/>
    </w:r>
    <w:r w:rsidR="00A3289D">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sidR="00A3289D">
      <w:rPr>
        <w:noProof/>
        <w:sz w:val="20"/>
        <w:szCs w:val="20"/>
      </w:rPr>
      <w:t>3</w:t>
    </w:r>
    <w:r>
      <w:rPr>
        <w:sz w:val="20"/>
        <w:szCs w:val="20"/>
      </w:rPr>
      <w:fldChar w:fldCharType="end"/>
    </w:r>
    <w:r w:rsidRPr="00CA32E0">
      <w:rPr>
        <w:sz w:val="20"/>
        <w:szCs w:val="2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E0" w:rsidRPr="00CA32E0" w:rsidRDefault="00CA32E0" w:rsidP="00CA32E0">
    <w:pPr>
      <w:pStyle w:val="Bunntekst"/>
      <w:pBdr>
        <w:bottom w:val="single" w:sz="12" w:space="1" w:color="auto"/>
      </w:pBdr>
      <w:rPr>
        <w:sz w:val="20"/>
        <w:szCs w:val="20"/>
      </w:rPr>
    </w:pPr>
  </w:p>
  <w:p w:rsidR="00CA32E0" w:rsidRPr="00CA32E0" w:rsidRDefault="00CA32E0">
    <w:pPr>
      <w:pStyle w:val="Bunntekst"/>
      <w:rPr>
        <w:sz w:val="20"/>
        <w:szCs w:val="20"/>
      </w:rPr>
    </w:pPr>
    <w:r w:rsidRPr="00CA32E0">
      <w:rPr>
        <w:sz w:val="20"/>
        <w:szCs w:val="20"/>
      </w:rPr>
      <w:tab/>
    </w:r>
    <w:r w:rsidRPr="00CA32E0">
      <w:rPr>
        <w:sz w:val="20"/>
        <w:szCs w:val="20"/>
      </w:rPr>
      <w:tab/>
    </w:r>
    <w:r>
      <w:rPr>
        <w:sz w:val="20"/>
        <w:szCs w:val="20"/>
      </w:rPr>
      <w:t xml:space="preserve">side </w:t>
    </w:r>
    <w:r>
      <w:rPr>
        <w:sz w:val="20"/>
        <w:szCs w:val="20"/>
      </w:rPr>
      <w:fldChar w:fldCharType="begin"/>
    </w:r>
    <w:r>
      <w:rPr>
        <w:sz w:val="20"/>
        <w:szCs w:val="20"/>
      </w:rPr>
      <w:instrText xml:space="preserve"> PAGE   \* MERGEFORMAT </w:instrText>
    </w:r>
    <w:r>
      <w:rPr>
        <w:sz w:val="20"/>
        <w:szCs w:val="20"/>
      </w:rPr>
      <w:fldChar w:fldCharType="separate"/>
    </w:r>
    <w:r w:rsidR="00A3289D">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sidR="00A3289D">
      <w:rPr>
        <w:noProof/>
        <w:sz w:val="20"/>
        <w:szCs w:val="20"/>
      </w:rPr>
      <w:t>3</w:t>
    </w:r>
    <w:r>
      <w:rPr>
        <w:sz w:val="20"/>
        <w:szCs w:val="20"/>
      </w:rPr>
      <w:fldChar w:fldCharType="end"/>
    </w:r>
    <w:r w:rsidRPr="00CA32E0">
      <w:rPr>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4A" w:rsidRDefault="00D7114A" w:rsidP="00D9324C">
      <w:pPr>
        <w:spacing w:after="0" w:line="240" w:lineRule="auto"/>
      </w:pPr>
      <w:r>
        <w:separator/>
      </w:r>
    </w:p>
  </w:footnote>
  <w:footnote w:type="continuationSeparator" w:id="0">
    <w:p w:rsidR="00D7114A" w:rsidRDefault="00D7114A" w:rsidP="00D9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70" w:rsidRDefault="00D7114A" w:rsidP="003C4970">
    <w:pPr>
      <w:pStyle w:val="Topptekst"/>
      <w:jc w:val="center"/>
    </w:pPr>
    <w:r>
      <w:rPr>
        <w:b/>
        <w:caps/>
        <w:noProof/>
        <w:lang w:eastAsia="nb-NO"/>
      </w:rPr>
      <w:drawing>
        <wp:anchor distT="0" distB="0" distL="114300" distR="114300" simplePos="0" relativeHeight="251658752" behindDoc="1" locked="0" layoutInCell="1" allowOverlap="1" wp14:anchorId="3CBB479A" wp14:editId="77B6C512">
          <wp:simplePos x="0" y="0"/>
          <wp:positionH relativeFrom="column">
            <wp:posOffset>-8890</wp:posOffset>
          </wp:positionH>
          <wp:positionV relativeFrom="paragraph">
            <wp:posOffset>12700</wp:posOffset>
          </wp:positionV>
          <wp:extent cx="1085850" cy="819150"/>
          <wp:effectExtent l="0" t="0" r="0" b="0"/>
          <wp:wrapTight wrapText="bothSides">
            <wp:wrapPolygon edited="0">
              <wp:start x="0" y="0"/>
              <wp:lineTo x="0" y="21098"/>
              <wp:lineTo x="21221" y="21098"/>
              <wp:lineTo x="21221"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pic:spPr>
              </pic:pic>
            </a:graphicData>
          </a:graphic>
          <wp14:sizeRelH relativeFrom="page">
            <wp14:pctWidth>0</wp14:pctWidth>
          </wp14:sizeRelH>
          <wp14:sizeRelV relativeFrom="page">
            <wp14:pctHeight>0</wp14:pctHeight>
          </wp14:sizeRelV>
        </wp:anchor>
      </w:drawing>
    </w:r>
    <w:r w:rsidR="00100742">
      <w:rPr>
        <w:b/>
      </w:rPr>
      <w:t>FYLKESRÅDMANNEN</w:t>
    </w:r>
    <w:r w:rsidR="000A7660">
      <w:t xml:space="preserve"> </w:t>
    </w:r>
    <w:r w:rsidR="003C4970">
      <w:br/>
    </w:r>
    <w:r w:rsidR="009B2444">
      <w:t>Opplæringsavdelingen</w:t>
    </w:r>
  </w:p>
  <w:p w:rsidR="00DA334F" w:rsidRDefault="00DA334F">
    <w:pPr>
      <w:pStyle w:val="Topptekst"/>
    </w:pPr>
  </w:p>
  <w:p w:rsidR="00CA32E0" w:rsidRDefault="00CA32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B95"/>
    <w:multiLevelType w:val="multilevel"/>
    <w:tmpl w:val="C9265F3C"/>
    <w:lvl w:ilvl="0">
      <w:start w:val="1"/>
      <w:numFmt w:val="decimal"/>
      <w:pStyle w:val="Overskrift1"/>
      <w:lvlText w:val="%1."/>
      <w:lvlJc w:val="left"/>
      <w:pPr>
        <w:ind w:left="357" w:hanging="357"/>
      </w:pPr>
      <w:rPr>
        <w:rFonts w:hint="default"/>
      </w:rPr>
    </w:lvl>
    <w:lvl w:ilvl="1">
      <w:start w:val="1"/>
      <w:numFmt w:val="decimal"/>
      <w:pStyle w:val="Overskrift2"/>
      <w:lvlText w:val="%1.%2."/>
      <w:lvlJc w:val="left"/>
      <w:pPr>
        <w:ind w:left="714" w:hanging="714"/>
      </w:pPr>
      <w:rPr>
        <w:rFonts w:hint="default"/>
      </w:rPr>
    </w:lvl>
    <w:lvl w:ilvl="2">
      <w:start w:val="1"/>
      <w:numFmt w:val="none"/>
      <w:pStyle w:val="Overskrift3"/>
      <w:suff w:val="nothing"/>
      <w:lvlText w:val=""/>
      <w:lvlJc w:val="left"/>
      <w:pPr>
        <w:ind w:left="0" w:firstLine="0"/>
      </w:pPr>
      <w:rPr>
        <w:rFonts w:hint="default"/>
      </w:rPr>
    </w:lvl>
    <w:lvl w:ilvl="3">
      <w:start w:val="1"/>
      <w:numFmt w:val="none"/>
      <w:lvlText w:val=""/>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8914528"/>
    <w:multiLevelType w:val="multilevel"/>
    <w:tmpl w:val="BA668C36"/>
    <w:lvl w:ilvl="0">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FDA3F04"/>
    <w:multiLevelType w:val="hybridMultilevel"/>
    <w:tmpl w:val="593832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E2D87"/>
    <w:multiLevelType w:val="hybridMultilevel"/>
    <w:tmpl w:val="2F7AC5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23755"/>
    <w:multiLevelType w:val="hybridMultilevel"/>
    <w:tmpl w:val="DBAAC9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86612"/>
    <w:multiLevelType w:val="hybridMultilevel"/>
    <w:tmpl w:val="17EAB466"/>
    <w:lvl w:ilvl="0" w:tplc="35D224F4">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0346B"/>
    <w:multiLevelType w:val="multilevel"/>
    <w:tmpl w:val="498836F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78C039E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0"/>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4A"/>
    <w:rsid w:val="000041C0"/>
    <w:rsid w:val="00017317"/>
    <w:rsid w:val="000A7660"/>
    <w:rsid w:val="000D30DE"/>
    <w:rsid w:val="00100742"/>
    <w:rsid w:val="00112AC9"/>
    <w:rsid w:val="00113D32"/>
    <w:rsid w:val="00117E73"/>
    <w:rsid w:val="001810A9"/>
    <w:rsid w:val="001C7516"/>
    <w:rsid w:val="001D4A5F"/>
    <w:rsid w:val="001F212E"/>
    <w:rsid w:val="0020584B"/>
    <w:rsid w:val="00244BD6"/>
    <w:rsid w:val="002802F1"/>
    <w:rsid w:val="00294AE0"/>
    <w:rsid w:val="0029666B"/>
    <w:rsid w:val="002A7153"/>
    <w:rsid w:val="002C3D39"/>
    <w:rsid w:val="003007B9"/>
    <w:rsid w:val="0035055A"/>
    <w:rsid w:val="00353BD7"/>
    <w:rsid w:val="00365B84"/>
    <w:rsid w:val="00382B6F"/>
    <w:rsid w:val="003C4970"/>
    <w:rsid w:val="003D13D9"/>
    <w:rsid w:val="003D422D"/>
    <w:rsid w:val="00421EC4"/>
    <w:rsid w:val="004251DA"/>
    <w:rsid w:val="004338BA"/>
    <w:rsid w:val="00474847"/>
    <w:rsid w:val="00494EA4"/>
    <w:rsid w:val="004A6990"/>
    <w:rsid w:val="004B121F"/>
    <w:rsid w:val="004C0BAE"/>
    <w:rsid w:val="004E1DF4"/>
    <w:rsid w:val="005C2808"/>
    <w:rsid w:val="00613AAC"/>
    <w:rsid w:val="00622FFF"/>
    <w:rsid w:val="00650306"/>
    <w:rsid w:val="00660421"/>
    <w:rsid w:val="00684481"/>
    <w:rsid w:val="006A1062"/>
    <w:rsid w:val="006B4273"/>
    <w:rsid w:val="007645D7"/>
    <w:rsid w:val="007B6779"/>
    <w:rsid w:val="007E47B8"/>
    <w:rsid w:val="007E6A14"/>
    <w:rsid w:val="008348BC"/>
    <w:rsid w:val="00836A9B"/>
    <w:rsid w:val="00840E49"/>
    <w:rsid w:val="00847A48"/>
    <w:rsid w:val="008513AF"/>
    <w:rsid w:val="00887E45"/>
    <w:rsid w:val="008F5BBD"/>
    <w:rsid w:val="009829F6"/>
    <w:rsid w:val="009B2444"/>
    <w:rsid w:val="009C1D8D"/>
    <w:rsid w:val="00A3289D"/>
    <w:rsid w:val="00A337F3"/>
    <w:rsid w:val="00A4073F"/>
    <w:rsid w:val="00A7187D"/>
    <w:rsid w:val="00A91A46"/>
    <w:rsid w:val="00A94B6B"/>
    <w:rsid w:val="00AC0195"/>
    <w:rsid w:val="00AC2A45"/>
    <w:rsid w:val="00AC53F2"/>
    <w:rsid w:val="00AE4313"/>
    <w:rsid w:val="00B35EE4"/>
    <w:rsid w:val="00B52677"/>
    <w:rsid w:val="00BC065E"/>
    <w:rsid w:val="00C536FA"/>
    <w:rsid w:val="00C80467"/>
    <w:rsid w:val="00C8777E"/>
    <w:rsid w:val="00CA32E0"/>
    <w:rsid w:val="00D26F42"/>
    <w:rsid w:val="00D4717E"/>
    <w:rsid w:val="00D7114A"/>
    <w:rsid w:val="00D73A13"/>
    <w:rsid w:val="00D9324C"/>
    <w:rsid w:val="00DA334F"/>
    <w:rsid w:val="00DB5CAE"/>
    <w:rsid w:val="00DB60F8"/>
    <w:rsid w:val="00DD298C"/>
    <w:rsid w:val="00E112D6"/>
    <w:rsid w:val="00E210C5"/>
    <w:rsid w:val="00E6462C"/>
    <w:rsid w:val="00EA4F1D"/>
    <w:rsid w:val="00F41445"/>
    <w:rsid w:val="00FC3D5B"/>
    <w:rsid w:val="00FF3F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F07BC5"/>
  <w15:docId w15:val="{EF48035F-7CCD-40FF-A0A6-00DED85F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02F1"/>
    <w:pPr>
      <w:spacing w:after="200" w:line="276" w:lineRule="auto"/>
    </w:pPr>
    <w:rPr>
      <w:rFonts w:ascii="Arial" w:hAnsi="Arial"/>
      <w:sz w:val="24"/>
      <w:szCs w:val="22"/>
      <w:lang w:eastAsia="en-US"/>
    </w:rPr>
  </w:style>
  <w:style w:type="paragraph" w:styleId="Overskrift1">
    <w:name w:val="heading 1"/>
    <w:basedOn w:val="Normal"/>
    <w:next w:val="Normal"/>
    <w:link w:val="Overskrift1Tegn"/>
    <w:uiPriority w:val="9"/>
    <w:qFormat/>
    <w:rsid w:val="00B35EE4"/>
    <w:pPr>
      <w:keepNext/>
      <w:keepLines/>
      <w:numPr>
        <w:numId w:val="3"/>
      </w:numPr>
      <w:spacing w:before="480" w:after="120"/>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B35EE4"/>
    <w:pPr>
      <w:keepNext/>
      <w:keepLines/>
      <w:numPr>
        <w:ilvl w:val="1"/>
        <w:numId w:val="3"/>
      </w:numPr>
      <w:spacing w:before="200" w:after="120"/>
      <w:outlineLvl w:val="1"/>
    </w:pPr>
    <w:rPr>
      <w:rFonts w:eastAsia="Times New Roman"/>
      <w:b/>
      <w:bCs/>
      <w:szCs w:val="26"/>
    </w:rPr>
  </w:style>
  <w:style w:type="paragraph" w:styleId="Overskrift3">
    <w:name w:val="heading 3"/>
    <w:basedOn w:val="Normal"/>
    <w:next w:val="Normal"/>
    <w:link w:val="Overskrift3Tegn"/>
    <w:uiPriority w:val="9"/>
    <w:unhideWhenUsed/>
    <w:qFormat/>
    <w:rsid w:val="00113D32"/>
    <w:pPr>
      <w:keepNext/>
      <w:keepLines/>
      <w:numPr>
        <w:ilvl w:val="2"/>
        <w:numId w:val="3"/>
      </w:numPr>
      <w:spacing w:before="200" w:after="0"/>
      <w:outlineLvl w:val="2"/>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8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9324C"/>
    <w:pPr>
      <w:tabs>
        <w:tab w:val="center" w:pos="4536"/>
        <w:tab w:val="right" w:pos="9072"/>
      </w:tabs>
    </w:pPr>
  </w:style>
  <w:style w:type="character" w:customStyle="1" w:styleId="TopptekstTegn">
    <w:name w:val="Topptekst Tegn"/>
    <w:link w:val="Topptekst"/>
    <w:uiPriority w:val="99"/>
    <w:rsid w:val="00D9324C"/>
    <w:rPr>
      <w:sz w:val="22"/>
      <w:szCs w:val="22"/>
      <w:lang w:eastAsia="en-US"/>
    </w:rPr>
  </w:style>
  <w:style w:type="paragraph" w:styleId="Bunntekst">
    <w:name w:val="footer"/>
    <w:basedOn w:val="Normal"/>
    <w:link w:val="BunntekstTegn"/>
    <w:uiPriority w:val="99"/>
    <w:unhideWhenUsed/>
    <w:rsid w:val="00D9324C"/>
    <w:pPr>
      <w:tabs>
        <w:tab w:val="center" w:pos="4536"/>
        <w:tab w:val="right" w:pos="9072"/>
      </w:tabs>
    </w:pPr>
  </w:style>
  <w:style w:type="character" w:customStyle="1" w:styleId="BunntekstTegn">
    <w:name w:val="Bunntekst Tegn"/>
    <w:link w:val="Bunntekst"/>
    <w:uiPriority w:val="99"/>
    <w:rsid w:val="00D9324C"/>
    <w:rPr>
      <w:sz w:val="22"/>
      <w:szCs w:val="22"/>
      <w:lang w:eastAsia="en-US"/>
    </w:rPr>
  </w:style>
  <w:style w:type="paragraph" w:styleId="Bobletekst">
    <w:name w:val="Balloon Text"/>
    <w:basedOn w:val="Normal"/>
    <w:link w:val="BobletekstTegn"/>
    <w:uiPriority w:val="99"/>
    <w:semiHidden/>
    <w:unhideWhenUsed/>
    <w:rsid w:val="00D9324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9324C"/>
    <w:rPr>
      <w:rFonts w:ascii="Tahoma" w:hAnsi="Tahoma" w:cs="Tahoma"/>
      <w:sz w:val="16"/>
      <w:szCs w:val="16"/>
      <w:lang w:eastAsia="en-US"/>
    </w:rPr>
  </w:style>
  <w:style w:type="paragraph" w:styleId="Tittel">
    <w:name w:val="Title"/>
    <w:basedOn w:val="Normal"/>
    <w:next w:val="Normal"/>
    <w:link w:val="TittelTegn"/>
    <w:qFormat/>
    <w:rsid w:val="00C8777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b-NO"/>
    </w:rPr>
  </w:style>
  <w:style w:type="character" w:customStyle="1" w:styleId="TittelTegn">
    <w:name w:val="Tittel Tegn"/>
    <w:link w:val="Tittel"/>
    <w:uiPriority w:val="10"/>
    <w:rsid w:val="00C8777E"/>
    <w:rPr>
      <w:rFonts w:ascii="Cambria" w:eastAsia="Times New Roman" w:hAnsi="Cambria"/>
      <w:color w:val="17365D"/>
      <w:spacing w:val="5"/>
      <w:kern w:val="28"/>
      <w:sz w:val="52"/>
      <w:szCs w:val="52"/>
    </w:rPr>
  </w:style>
  <w:style w:type="paragraph" w:styleId="Undertittel">
    <w:name w:val="Subtitle"/>
    <w:basedOn w:val="Normal"/>
    <w:next w:val="Normal"/>
    <w:link w:val="UndertittelTegn"/>
    <w:uiPriority w:val="11"/>
    <w:qFormat/>
    <w:rsid w:val="00C8777E"/>
    <w:pPr>
      <w:numPr>
        <w:ilvl w:val="1"/>
      </w:numPr>
    </w:pPr>
    <w:rPr>
      <w:rFonts w:ascii="Cambria" w:eastAsia="Times New Roman" w:hAnsi="Cambria"/>
      <w:i/>
      <w:iCs/>
      <w:color w:val="4F81BD"/>
      <w:spacing w:val="15"/>
      <w:szCs w:val="24"/>
      <w:lang w:eastAsia="nb-NO"/>
    </w:rPr>
  </w:style>
  <w:style w:type="character" w:customStyle="1" w:styleId="UndertittelTegn">
    <w:name w:val="Undertittel Tegn"/>
    <w:link w:val="Undertittel"/>
    <w:uiPriority w:val="11"/>
    <w:rsid w:val="00C8777E"/>
    <w:rPr>
      <w:rFonts w:ascii="Cambria" w:eastAsia="Times New Roman" w:hAnsi="Cambria"/>
      <w:i/>
      <w:iCs/>
      <w:color w:val="4F81BD"/>
      <w:spacing w:val="15"/>
      <w:sz w:val="24"/>
      <w:szCs w:val="24"/>
    </w:rPr>
  </w:style>
  <w:style w:type="paragraph" w:styleId="Listeavsnitt">
    <w:name w:val="List Paragraph"/>
    <w:basedOn w:val="Normal"/>
    <w:uiPriority w:val="34"/>
    <w:qFormat/>
    <w:rsid w:val="00D26F42"/>
    <w:pPr>
      <w:ind w:left="720"/>
      <w:contextualSpacing/>
    </w:pPr>
  </w:style>
  <w:style w:type="character" w:customStyle="1" w:styleId="Overskrift1Tegn">
    <w:name w:val="Overskrift 1 Tegn"/>
    <w:link w:val="Overskrift1"/>
    <w:uiPriority w:val="9"/>
    <w:rsid w:val="00B35EE4"/>
    <w:rPr>
      <w:rFonts w:ascii="Arial" w:eastAsia="Times New Roman" w:hAnsi="Arial"/>
      <w:b/>
      <w:bCs/>
      <w:sz w:val="28"/>
      <w:szCs w:val="28"/>
      <w:lang w:eastAsia="en-US"/>
    </w:rPr>
  </w:style>
  <w:style w:type="character" w:customStyle="1" w:styleId="Overskrift2Tegn">
    <w:name w:val="Overskrift 2 Tegn"/>
    <w:link w:val="Overskrift2"/>
    <w:uiPriority w:val="9"/>
    <w:rsid w:val="00B35EE4"/>
    <w:rPr>
      <w:rFonts w:ascii="Arial" w:eastAsia="Times New Roman" w:hAnsi="Arial"/>
      <w:b/>
      <w:bCs/>
      <w:sz w:val="24"/>
      <w:szCs w:val="26"/>
      <w:lang w:eastAsia="en-US"/>
    </w:rPr>
  </w:style>
  <w:style w:type="character" w:customStyle="1" w:styleId="Overskrift3Tegn">
    <w:name w:val="Overskrift 3 Tegn"/>
    <w:link w:val="Overskrift3"/>
    <w:uiPriority w:val="9"/>
    <w:rsid w:val="00113D32"/>
    <w:rPr>
      <w:rFonts w:ascii="Arial" w:eastAsia="Times New Roman" w:hAnsi="Arial"/>
      <w:b/>
      <w:bCs/>
      <w:sz w:val="24"/>
      <w:szCs w:val="22"/>
      <w:lang w:eastAsia="en-US"/>
    </w:rPr>
  </w:style>
  <w:style w:type="paragraph" w:styleId="Brdtekstinnrykk">
    <w:name w:val="Body Text Indent"/>
    <w:basedOn w:val="Normal"/>
    <w:link w:val="BrdtekstinnrykkTegn"/>
    <w:rsid w:val="009B2444"/>
    <w:pPr>
      <w:spacing w:after="0" w:line="240" w:lineRule="auto"/>
      <w:ind w:left="1080"/>
    </w:pPr>
    <w:rPr>
      <w:rFonts w:eastAsia="Times New Roman" w:cs="Arial"/>
      <w:iCs/>
      <w:szCs w:val="24"/>
      <w:lang w:eastAsia="nb-NO"/>
    </w:rPr>
  </w:style>
  <w:style w:type="character" w:customStyle="1" w:styleId="BrdtekstinnrykkTegn">
    <w:name w:val="Brødtekstinnrykk Tegn"/>
    <w:basedOn w:val="Standardskriftforavsnitt"/>
    <w:link w:val="Brdtekstinnrykk"/>
    <w:rsid w:val="009B2444"/>
    <w:rPr>
      <w:rFonts w:ascii="Arial" w:eastAsia="Times New Roman" w:hAnsi="Arial" w:cs="Arial"/>
      <w:iCs/>
      <w:sz w:val="24"/>
      <w:szCs w:val="24"/>
    </w:rPr>
  </w:style>
  <w:style w:type="character" w:styleId="Hyperkobling">
    <w:name w:val="Hyperlink"/>
    <w:basedOn w:val="Standardskriftforavsnitt"/>
    <w:uiPriority w:val="99"/>
    <w:unhideWhenUsed/>
    <w:rsid w:val="006B4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r.no/eksamen-og-prover/eksamen/muntlig-eksa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ersland\Desktop\Vedlegg_3_Muntlig_eksam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D650-9AF2-4F0B-B6BF-1420E2C2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Vedlegg_3_Muntlig_eksamen</Template>
  <TotalTime>0</TotalTime>
  <Pages>3</Pages>
  <Words>689</Words>
  <Characters>3653</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Prosedyre</vt:lpstr>
      <vt:lpstr>Prosedyre</vt:lpstr>
    </vt:vector>
  </TitlesOfParts>
  <Company>Rogaland fylkeskommune</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dc:title>
  <dc:creator>Tore Wersland</dc:creator>
  <cp:lastModifiedBy>Tore Wersland</cp:lastModifiedBy>
  <cp:revision>3</cp:revision>
  <cp:lastPrinted>2016-12-19T12:50:00Z</cp:lastPrinted>
  <dcterms:created xsi:type="dcterms:W3CDTF">2017-01-05T12:12:00Z</dcterms:created>
  <dcterms:modified xsi:type="dcterms:W3CDTF">2017-01-31T11:00:00Z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jon">
    <vt:lpwstr>1.2</vt:lpwstr>
  </property>
  <property fmtid="{D5CDD505-2E9C-101B-9397-08002B2CF9AE}" pid="3" name="Org-enhet1">
    <vt:lpwstr>Skole-Fylkesrådmann</vt:lpwstr>
  </property>
  <property fmtid="{D5CDD505-2E9C-101B-9397-08002B2CF9AE}" pid="4" name="Org-enhet2">
    <vt:lpwstr>Avdeling/seksjon</vt:lpwstr>
  </property>
  <property fmtid="{D5CDD505-2E9C-101B-9397-08002B2CF9AE}" pid="5" name="Dokumentarkfane">
    <vt:lpwstr>Dokumentarkfane</vt:lpwstr>
  </property>
  <property fmtid="{D5CDD505-2E9C-101B-9397-08002B2CF9AE}" pid="6" name="Dokumentgruppe">
    <vt:lpwstr>Dokumentgruppe</vt:lpwstr>
  </property>
  <property fmtid="{D5CDD505-2E9C-101B-9397-08002B2CF9AE}" pid="7" name="Dokumentnavn">
    <vt:lpwstr>Dokumentnavn</vt:lpwstr>
  </property>
  <property fmtid="{D5CDD505-2E9C-101B-9397-08002B2CF9AE}" pid="8" name="Gyldig_fra">
    <vt:filetime>2011-12-31T22:00:00Z</vt:filetime>
  </property>
  <property fmtid="{D5CDD505-2E9C-101B-9397-08002B2CF9AE}" pid="9" name="Godkjent_av">
    <vt:lpwstr>Godkjent av</vt:lpwstr>
  </property>
  <property fmtid="{D5CDD505-2E9C-101B-9397-08002B2CF9AE}" pid="10" name="Saksnr">
    <vt:lpwstr>Saksnr i ESA</vt:lpwstr>
  </property>
</Properties>
</file>